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29 (Key Supplier Staff) </w:t>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Key Staff fulfil the Key Roles at all times during the Contract Period.</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and shall procure that any Subcontractor shall not remove or replace any Key Staff unless:</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requested to do so by the Buyer or the Buyer Approves such removal or replacement (not to be unreasonably withheld or delayed);</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concerned resigns, retires or dies or is on maternity or long-term sick leave; 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Key Role is not vacant for any longer than ten (10) Working Days;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0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Key Roles</w:t>
      </w:r>
    </w:p>
    <w:tbl>
      <w:tblPr>
        <w:tblStyle w:val="Table1"/>
        <w:tblW w:w="8908.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34"/>
        <w:gridCol w:w="2797"/>
        <w:gridCol w:w="2777"/>
        <w:tblGridChange w:id="0">
          <w:tblGrid>
            <w:gridCol w:w="3334"/>
            <w:gridCol w:w="2797"/>
            <w:gridCol w:w="2777"/>
          </w:tblGrid>
        </w:tblGridChange>
      </w:tblGrid>
      <w:tr>
        <w:trPr>
          <w:cantSplit w:val="0"/>
          <w:trHeight w:val="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Details</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2F">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2B">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29 (Key Supplier Staff)</w:t>
    </w:r>
  </w:p>
  <w:p w:rsidR="00000000" w:rsidDel="00000000" w:rsidP="00000000" w:rsidRDefault="00000000" w:rsidRPr="00000000" w14:paraId="0000002C">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